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1239" w14:textId="453AEEB7" w:rsidR="005F2E26" w:rsidRDefault="007F4E84" w:rsidP="006A4E69">
      <w:pPr>
        <w:pStyle w:val="Textpoznpodarou"/>
        <w:jc w:val="both"/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Problematika</w:t>
      </w:r>
      <w:r w:rsidR="005F2E26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vzdělávání pedagogických pracovníků</w:t>
      </w:r>
    </w:p>
    <w:p w14:paraId="30E49DBF" w14:textId="77777777" w:rsidR="005F2E26" w:rsidRDefault="005F2E26" w:rsidP="006A4E69">
      <w:pPr>
        <w:pStyle w:val="Textpoznpodarou"/>
        <w:jc w:val="both"/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118CC20D" w14:textId="0186F153" w:rsidR="006A4E69" w:rsidRDefault="00026D4F" w:rsidP="006A4E69">
      <w:pPr>
        <w:pStyle w:val="Textpoznpodarou"/>
        <w:jc w:val="both"/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26D4F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Další vzdělávání pedagogických pracovníků </w:t>
      </w:r>
      <w:r w:rsidRPr="00026D4F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upravuje prováděcí předpis školského zákona, což je vyhláška č. </w:t>
      </w:r>
      <w:r w:rsidRPr="00026D4F">
        <w:rPr>
          <w:rFonts w:ascii="Garamond" w:hAnsi="Garamond"/>
          <w:sz w:val="24"/>
          <w:szCs w:val="24"/>
        </w:rPr>
        <w:t>317/2005 sb., o dalším vzdělávání pedagogických pracovníků, akreditační komisi a kariérním systému pedagogických pracovníků (dále jen „</w:t>
      </w:r>
      <w:r>
        <w:rPr>
          <w:rFonts w:ascii="Garamond" w:hAnsi="Garamond"/>
          <w:sz w:val="24"/>
          <w:szCs w:val="24"/>
        </w:rPr>
        <w:t xml:space="preserve">vyhláška </w:t>
      </w:r>
      <w:r w:rsidRPr="00026D4F">
        <w:rPr>
          <w:rFonts w:ascii="Garamond" w:hAnsi="Garamond"/>
          <w:sz w:val="24"/>
          <w:szCs w:val="24"/>
        </w:rPr>
        <w:t>o DVPP“)</w:t>
      </w:r>
      <w:r w:rsidR="006A4E69">
        <w:rPr>
          <w:rFonts w:ascii="Garamond" w:hAnsi="Garamond"/>
          <w:sz w:val="24"/>
          <w:szCs w:val="24"/>
        </w:rPr>
        <w:t xml:space="preserve">. </w:t>
      </w:r>
      <w:r w:rsidR="00101741" w:rsidRPr="004F137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Pedagogičtí</w:t>
      </w:r>
      <w:r w:rsidR="00101741" w:rsidRPr="004F1370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101741" w:rsidRPr="004F137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pracovníci mají po dobu výkonu své pedagogické činnosti </w:t>
      </w:r>
      <w:r w:rsidR="00101741" w:rsidRPr="004F1370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povinnost</w:t>
      </w:r>
      <w:r w:rsidR="00101741" w:rsidRPr="004F137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101741" w:rsidRPr="004F1370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dalšího vzdělávání</w:t>
      </w:r>
      <w:r w:rsidR="00101741" w:rsidRPr="004F137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, kterým si </w:t>
      </w:r>
      <w:r w:rsidR="00101741" w:rsidRPr="004F1370">
        <w:rPr>
          <w:rFonts w:ascii="Garamond" w:eastAsia="Times New Roman" w:hAnsi="Garamond" w:cs="Arial"/>
          <w:kern w:val="0"/>
          <w:sz w:val="24"/>
          <w:szCs w:val="24"/>
          <w:lang w:eastAsia="cs-CZ"/>
          <w14:ligatures w14:val="none"/>
        </w:rPr>
        <w:t>obnovují, udržují a doplňují kvalifikaci</w:t>
      </w:r>
      <w:r w:rsidR="00101741" w:rsidRPr="004F137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101741" w:rsidRPr="00101741">
        <w:rPr>
          <w:rStyle w:val="Znakapoznpodarou"/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footnoteReference w:id="1"/>
      </w:r>
      <w:r w:rsidR="00101741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D02939E" w14:textId="77777777" w:rsidR="006A4E69" w:rsidRDefault="006A4E69" w:rsidP="006A4E69">
      <w:pPr>
        <w:pStyle w:val="Textpoznpodarou"/>
        <w:jc w:val="both"/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85D110C" w14:textId="5E8A2771" w:rsidR="006A4E69" w:rsidRDefault="006A4E69" w:rsidP="006A4E69">
      <w:pPr>
        <w:pStyle w:val="Textpoznpodarou"/>
        <w:jc w:val="both"/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V uvedené vyhlášce jsou uvedeny</w:t>
      </w:r>
      <w:r>
        <w:rPr>
          <w:rStyle w:val="Znakapoznpodarou"/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footnoteReference w:id="2"/>
      </w:r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A4E69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druhy</w:t>
      </w:r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další</w:t>
      </w:r>
      <w:r w:rsidR="003C37C8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ho</w:t>
      </w:r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vzdělávání pedagogických pracovníků</w:t>
      </w:r>
      <w:r w:rsidR="003C690D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266575FC" w14:textId="0B598A07" w:rsidR="003C690D" w:rsidRDefault="003C690D" w:rsidP="003C690D">
      <w:pPr>
        <w:pStyle w:val="l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C0D3B" w14:textId="05A16108" w:rsidR="003C690D" w:rsidRDefault="003C690D" w:rsidP="00BA030D">
      <w:pPr>
        <w:pStyle w:val="l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3C690D">
        <w:rPr>
          <w:rFonts w:ascii="Garamond" w:hAnsi="Garamond" w:cs="Arial"/>
        </w:rPr>
        <w:t>studium ke splnění kvalifikačních předpokladů</w:t>
      </w:r>
      <w:r w:rsidR="00BA030D">
        <w:rPr>
          <w:rFonts w:ascii="Garamond" w:hAnsi="Garamond" w:cs="Arial"/>
        </w:rPr>
        <w:t xml:space="preserve"> (s</w:t>
      </w:r>
      <w:r w:rsidR="00BA030D" w:rsidRPr="003C690D">
        <w:rPr>
          <w:rFonts w:ascii="Garamond" w:hAnsi="Garamond"/>
        </w:rPr>
        <w:t xml:space="preserve">tudium v oblasti pedagogických věd, </w:t>
      </w:r>
      <w:r w:rsidR="00BA030D">
        <w:rPr>
          <w:rFonts w:ascii="Garamond" w:hAnsi="Garamond"/>
          <w:b/>
          <w:bCs/>
        </w:rPr>
        <w:t>s</w:t>
      </w:r>
      <w:r w:rsidR="00BA030D" w:rsidRPr="003C690D">
        <w:rPr>
          <w:rFonts w:ascii="Garamond" w:hAnsi="Garamond"/>
        </w:rPr>
        <w:t xml:space="preserve">tudium pedagogiky, </w:t>
      </w:r>
      <w:r w:rsidR="00BA030D">
        <w:rPr>
          <w:rFonts w:ascii="Garamond" w:hAnsi="Garamond"/>
          <w:b/>
          <w:bCs/>
        </w:rPr>
        <w:t>s</w:t>
      </w:r>
      <w:r w:rsidR="00BA030D" w:rsidRPr="003C690D">
        <w:rPr>
          <w:rFonts w:ascii="Garamond" w:hAnsi="Garamond"/>
        </w:rPr>
        <w:t xml:space="preserve">tudium pro asistenty pedagoga, </w:t>
      </w:r>
      <w:r w:rsidR="00BA030D">
        <w:rPr>
          <w:rFonts w:ascii="Garamond" w:hAnsi="Garamond"/>
          <w:b/>
          <w:bCs/>
        </w:rPr>
        <w:t>s</w:t>
      </w:r>
      <w:r w:rsidR="00BA030D" w:rsidRPr="003C690D">
        <w:rPr>
          <w:rFonts w:ascii="Garamond" w:hAnsi="Garamond"/>
        </w:rPr>
        <w:t xml:space="preserve">tudium pro ředitele škol a školských zařízení, </w:t>
      </w:r>
      <w:r w:rsidR="00BA030D">
        <w:rPr>
          <w:rFonts w:ascii="Garamond" w:hAnsi="Garamond"/>
          <w:b/>
          <w:bCs/>
        </w:rPr>
        <w:t>s</w:t>
      </w:r>
      <w:r w:rsidR="00BA030D" w:rsidRPr="003C690D">
        <w:rPr>
          <w:rFonts w:ascii="Garamond" w:hAnsi="Garamond"/>
        </w:rPr>
        <w:t xml:space="preserve">tudium k rozšíření odborné kvalifikace, </w:t>
      </w:r>
      <w:r w:rsidR="00BA030D" w:rsidRPr="00BA030D">
        <w:rPr>
          <w:rFonts w:ascii="Garamond" w:hAnsi="Garamond"/>
        </w:rPr>
        <w:t>doplňující</w:t>
      </w:r>
      <w:r w:rsidR="00BA030D" w:rsidRPr="003C690D">
        <w:rPr>
          <w:rFonts w:ascii="Garamond" w:hAnsi="Garamond"/>
        </w:rPr>
        <w:t xml:space="preserve"> studium k rozšíření odborné kvalifikace, </w:t>
      </w:r>
      <w:r w:rsidR="00BA030D">
        <w:rPr>
          <w:rFonts w:ascii="Garamond" w:hAnsi="Garamond"/>
          <w:b/>
          <w:bCs/>
        </w:rPr>
        <w:t>d</w:t>
      </w:r>
      <w:r w:rsidR="00BA030D" w:rsidRPr="003C690D">
        <w:rPr>
          <w:rFonts w:ascii="Garamond" w:hAnsi="Garamond"/>
        </w:rPr>
        <w:t>oplňující didaktické studium příslušného cizího jazyka</w:t>
      </w:r>
      <w:r w:rsidR="00BA04F6">
        <w:rPr>
          <w:rFonts w:ascii="Garamond" w:hAnsi="Garamond"/>
        </w:rPr>
        <w:t>)</w:t>
      </w:r>
      <w:r w:rsidRPr="003C690D">
        <w:rPr>
          <w:rFonts w:ascii="Garamond" w:hAnsi="Garamond" w:cs="Arial"/>
        </w:rPr>
        <w:t>,</w:t>
      </w:r>
    </w:p>
    <w:p w14:paraId="55444B40" w14:textId="308A5E6E" w:rsidR="003C690D" w:rsidRDefault="003C690D" w:rsidP="003C690D">
      <w:pPr>
        <w:pStyle w:val="l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BA030D">
        <w:rPr>
          <w:rFonts w:ascii="Garamond" w:hAnsi="Garamond" w:cs="Arial"/>
        </w:rPr>
        <w:t>studium ke splnění dalších kvalifikačních předpokladů</w:t>
      </w:r>
      <w:r w:rsidR="00BA030D" w:rsidRPr="00BA030D">
        <w:rPr>
          <w:rFonts w:ascii="Garamond" w:hAnsi="Garamond" w:cs="Arial"/>
        </w:rPr>
        <w:t xml:space="preserve"> (s</w:t>
      </w:r>
      <w:r w:rsidR="00BA030D" w:rsidRPr="00BA030D">
        <w:rPr>
          <w:rFonts w:ascii="Garamond" w:hAnsi="Garamond"/>
        </w:rPr>
        <w:t>tudium pro vedoucí pedagogické pracovníky, studium pro výchovné poradce, studium k výkonu specializovaných činností)</w:t>
      </w:r>
      <w:r w:rsidRPr="00BA030D">
        <w:rPr>
          <w:rFonts w:ascii="Garamond" w:hAnsi="Garamond" w:cs="Arial"/>
        </w:rPr>
        <w:t>,</w:t>
      </w:r>
    </w:p>
    <w:p w14:paraId="3807C6A5" w14:textId="43BD1501" w:rsidR="003C690D" w:rsidRPr="00BA030D" w:rsidRDefault="003C690D" w:rsidP="003C690D">
      <w:pPr>
        <w:pStyle w:val="l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BA030D">
        <w:rPr>
          <w:rFonts w:ascii="Garamond" w:hAnsi="Garamond" w:cs="Arial"/>
          <w:b/>
          <w:bCs/>
        </w:rPr>
        <w:t>studium k prohlubování odborné kvalifikace</w:t>
      </w:r>
      <w:r w:rsidR="00BA030D">
        <w:rPr>
          <w:rFonts w:ascii="Garamond" w:hAnsi="Garamond" w:cs="Arial"/>
          <w:b/>
          <w:bCs/>
        </w:rPr>
        <w:t xml:space="preserve"> (průběžné vzdělávání)</w:t>
      </w:r>
      <w:r w:rsidR="00BA030D">
        <w:rPr>
          <w:rStyle w:val="Znakapoznpodarou"/>
          <w:rFonts w:ascii="Garamond" w:hAnsi="Garamond" w:cs="Arial"/>
          <w:b/>
          <w:bCs/>
        </w:rPr>
        <w:footnoteReference w:id="3"/>
      </w:r>
      <w:r w:rsidRPr="00BA030D">
        <w:rPr>
          <w:rFonts w:ascii="Garamond" w:hAnsi="Garamond" w:cs="Arial"/>
        </w:rPr>
        <w:t>.</w:t>
      </w:r>
    </w:p>
    <w:p w14:paraId="4529AEB4" w14:textId="77777777" w:rsidR="003C690D" w:rsidRPr="003C690D" w:rsidRDefault="003C690D" w:rsidP="006A4E69">
      <w:pPr>
        <w:pStyle w:val="Textpoznpodarou"/>
        <w:jc w:val="both"/>
        <w:rPr>
          <w:rFonts w:ascii="Garamond" w:eastAsia="Times New Roman" w:hAnsi="Garamond" w:cs="Arial"/>
          <w:kern w:val="0"/>
          <w:sz w:val="24"/>
          <w:szCs w:val="24"/>
          <w:lang w:eastAsia="cs-CZ"/>
          <w14:ligatures w14:val="none"/>
        </w:rPr>
      </w:pPr>
    </w:p>
    <w:p w14:paraId="0AAC3406" w14:textId="77777777" w:rsidR="00C271F0" w:rsidRDefault="00BA04F6" w:rsidP="00BA04F6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bookmarkStart w:id="0" w:name="_Hlk145630901"/>
      <w:r w:rsidRPr="00BA04F6">
        <w:rPr>
          <w:rFonts w:ascii="Garamond" w:hAnsi="Garamond"/>
          <w:sz w:val="24"/>
          <w:szCs w:val="24"/>
        </w:rPr>
        <w:t xml:space="preserve">Řízení o akreditaci vzdělávacího programu určeného k </w:t>
      </w:r>
      <w:r w:rsidRPr="003C37C8">
        <w:rPr>
          <w:rFonts w:ascii="Garamond" w:hAnsi="Garamond"/>
          <w:b/>
          <w:bCs/>
          <w:sz w:val="24"/>
          <w:szCs w:val="24"/>
        </w:rPr>
        <w:t>obnovení, udržení nebo doplnění kvalifikace</w:t>
      </w:r>
      <w:r w:rsidRPr="00BA04F6">
        <w:rPr>
          <w:rFonts w:ascii="Garamond" w:hAnsi="Garamond"/>
          <w:sz w:val="24"/>
          <w:szCs w:val="24"/>
        </w:rPr>
        <w:t xml:space="preserve"> zahájené přede dnem nabytí účinnosti tohoto zákona se zastaví.</w:t>
      </w:r>
      <w:r w:rsidRPr="00BA04F6">
        <w:rPr>
          <w:rStyle w:val="Znakapoznpodarou"/>
          <w:rFonts w:ascii="Garamond" w:hAnsi="Garamond"/>
          <w:sz w:val="24"/>
          <w:szCs w:val="24"/>
        </w:rPr>
        <w:footnoteReference w:id="4"/>
      </w:r>
      <w:r w:rsidRPr="00BA04F6">
        <w:rPr>
          <w:rFonts w:ascii="Garamond" w:hAnsi="Garamond"/>
          <w:sz w:val="24"/>
          <w:szCs w:val="24"/>
        </w:rPr>
        <w:t xml:space="preserve"> </w:t>
      </w:r>
      <w:bookmarkEnd w:id="0"/>
      <w:r w:rsidRPr="00BA04F6">
        <w:rPr>
          <w:rFonts w:ascii="Garamond" w:hAnsi="Garamond"/>
          <w:sz w:val="24"/>
          <w:szCs w:val="24"/>
        </w:rPr>
        <w:t xml:space="preserve">Z dikce novely zákona je zřejmé, že </w:t>
      </w:r>
      <w:r w:rsidRPr="003C37C8">
        <w:rPr>
          <w:rFonts w:ascii="Garamond" w:hAnsi="Garamond"/>
          <w:sz w:val="24"/>
          <w:szCs w:val="24"/>
        </w:rPr>
        <w:t>zastavení akreditací</w:t>
      </w:r>
      <w:r w:rsidRPr="00BA04F6">
        <w:rPr>
          <w:rFonts w:ascii="Garamond" w:hAnsi="Garamond"/>
          <w:sz w:val="24"/>
          <w:szCs w:val="24"/>
        </w:rPr>
        <w:t xml:space="preserve"> se týká studia k prohlubování odborné kvalifikace, tedy </w:t>
      </w:r>
      <w:r w:rsidRPr="00C271F0">
        <w:rPr>
          <w:rFonts w:ascii="Garamond" w:hAnsi="Garamond"/>
          <w:b/>
          <w:bCs/>
          <w:sz w:val="24"/>
          <w:szCs w:val="24"/>
        </w:rPr>
        <w:t>průběžného vzdělávání</w:t>
      </w:r>
      <w:r w:rsidR="00C271F0">
        <w:rPr>
          <w:rFonts w:ascii="Garamond" w:hAnsi="Garamond"/>
          <w:b/>
          <w:bCs/>
          <w:sz w:val="24"/>
          <w:szCs w:val="24"/>
        </w:rPr>
        <w:t xml:space="preserve"> </w:t>
      </w:r>
      <w:r w:rsidR="00C271F0" w:rsidRPr="00C271F0">
        <w:rPr>
          <w:rFonts w:ascii="Garamond" w:hAnsi="Garamond"/>
          <w:sz w:val="24"/>
          <w:szCs w:val="24"/>
        </w:rPr>
        <w:t>a neplatí</w:t>
      </w:r>
      <w:r w:rsidR="00C271F0">
        <w:rPr>
          <w:rFonts w:ascii="Garamond" w:hAnsi="Garamond"/>
          <w:b/>
          <w:bCs/>
          <w:sz w:val="24"/>
          <w:szCs w:val="24"/>
        </w:rPr>
        <w:t xml:space="preserve"> </w:t>
      </w:r>
      <w:r w:rsidR="00C271F0" w:rsidRPr="00C271F0">
        <w:rPr>
          <w:rFonts w:ascii="Garamond" w:hAnsi="Garamond"/>
          <w:sz w:val="24"/>
          <w:szCs w:val="24"/>
        </w:rPr>
        <w:t xml:space="preserve">pro studia ke splnění kvalifikačních předpokladů nebo studia ke splnění dalších kvalifikačních předpokladů. </w:t>
      </w:r>
    </w:p>
    <w:p w14:paraId="0D64E359" w14:textId="0AEF4C57" w:rsidR="00BA04F6" w:rsidRPr="00C271F0" w:rsidRDefault="00BA04F6" w:rsidP="00C271F0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 w:rsidRPr="00BA04F6">
        <w:rPr>
          <w:rFonts w:ascii="Garamond" w:hAnsi="Garamond"/>
          <w:sz w:val="24"/>
          <w:szCs w:val="24"/>
        </w:rPr>
        <w:t xml:space="preserve">Zákon je účinný od 1.9.2023 a z toho plyne, že </w:t>
      </w:r>
      <w:r>
        <w:rPr>
          <w:rFonts w:ascii="Garamond" w:hAnsi="Garamond"/>
          <w:sz w:val="24"/>
          <w:szCs w:val="24"/>
        </w:rPr>
        <w:t>s ohledem na správní lhůtu akreditačního řízení</w:t>
      </w:r>
      <w:r>
        <w:rPr>
          <w:rStyle w:val="Znakapoznpodarou"/>
          <w:rFonts w:ascii="Garamond" w:hAnsi="Garamond"/>
          <w:sz w:val="24"/>
          <w:szCs w:val="24"/>
        </w:rPr>
        <w:footnoteReference w:id="5"/>
      </w:r>
      <w:r w:rsidR="00C271F0">
        <w:rPr>
          <w:rFonts w:ascii="Garamond" w:hAnsi="Garamond"/>
          <w:sz w:val="24"/>
          <w:szCs w:val="24"/>
        </w:rPr>
        <w:t xml:space="preserve"> (do 120 dnů) a podle počtu podaných žádostí může nastat situace, že </w:t>
      </w:r>
      <w:r w:rsidR="00C271F0" w:rsidRPr="00C271F0">
        <w:rPr>
          <w:rFonts w:ascii="Garamond" w:hAnsi="Garamond"/>
          <w:b/>
          <w:bCs/>
          <w:sz w:val="24"/>
          <w:szCs w:val="24"/>
        </w:rPr>
        <w:t>žádosti</w:t>
      </w:r>
      <w:r w:rsidR="00C271F0">
        <w:rPr>
          <w:rFonts w:ascii="Garamond" w:hAnsi="Garamond"/>
          <w:sz w:val="24"/>
          <w:szCs w:val="24"/>
        </w:rPr>
        <w:t xml:space="preserve"> </w:t>
      </w:r>
      <w:r w:rsidR="00C271F0" w:rsidRPr="00C271F0">
        <w:rPr>
          <w:rFonts w:ascii="Garamond" w:hAnsi="Garamond"/>
          <w:b/>
          <w:bCs/>
          <w:sz w:val="24"/>
          <w:szCs w:val="24"/>
        </w:rPr>
        <w:t>o akreditaci</w:t>
      </w:r>
      <w:r w:rsidR="00C271F0">
        <w:rPr>
          <w:rFonts w:ascii="Garamond" w:hAnsi="Garamond"/>
          <w:sz w:val="24"/>
          <w:szCs w:val="24"/>
        </w:rPr>
        <w:t xml:space="preserve"> vzdělávacího programu průběžného vzdělávání </w:t>
      </w:r>
      <w:r w:rsidR="00C271F0" w:rsidRPr="00C271F0">
        <w:rPr>
          <w:rFonts w:ascii="Garamond" w:hAnsi="Garamond"/>
          <w:b/>
          <w:bCs/>
          <w:sz w:val="24"/>
          <w:szCs w:val="24"/>
        </w:rPr>
        <w:t>nemusí být již přijímány</w:t>
      </w:r>
      <w:r w:rsidR="00C271F0">
        <w:rPr>
          <w:rFonts w:ascii="Garamond" w:hAnsi="Garamond"/>
          <w:sz w:val="24"/>
          <w:szCs w:val="24"/>
        </w:rPr>
        <w:t xml:space="preserve"> akreditační komisí </w:t>
      </w:r>
      <w:r w:rsidR="003C37C8">
        <w:rPr>
          <w:rFonts w:ascii="Garamond" w:hAnsi="Garamond"/>
          <w:sz w:val="24"/>
          <w:szCs w:val="24"/>
        </w:rPr>
        <w:t xml:space="preserve">kvůli </w:t>
      </w:r>
      <w:r w:rsidR="00C271F0">
        <w:rPr>
          <w:rFonts w:ascii="Garamond" w:hAnsi="Garamond"/>
          <w:sz w:val="24"/>
          <w:szCs w:val="24"/>
        </w:rPr>
        <w:t>„šibeniční</w:t>
      </w:r>
      <w:r w:rsidR="003C37C8">
        <w:rPr>
          <w:rFonts w:ascii="Garamond" w:hAnsi="Garamond"/>
          <w:sz w:val="24"/>
          <w:szCs w:val="24"/>
        </w:rPr>
        <w:t>mu</w:t>
      </w:r>
      <w:r w:rsidR="00C271F0">
        <w:rPr>
          <w:rFonts w:ascii="Garamond" w:hAnsi="Garamond"/>
          <w:sz w:val="24"/>
          <w:szCs w:val="24"/>
        </w:rPr>
        <w:t>“ termín</w:t>
      </w:r>
      <w:r w:rsidR="003C37C8">
        <w:rPr>
          <w:rFonts w:ascii="Garamond" w:hAnsi="Garamond"/>
          <w:sz w:val="24"/>
          <w:szCs w:val="24"/>
        </w:rPr>
        <w:t xml:space="preserve">u pro správní řízení pro udělení akreditace </w:t>
      </w:r>
      <w:r w:rsidR="00C271F0">
        <w:rPr>
          <w:rFonts w:ascii="Garamond" w:hAnsi="Garamond"/>
          <w:sz w:val="24"/>
          <w:szCs w:val="24"/>
        </w:rPr>
        <w:t xml:space="preserve">(novela zákona vyšla ve Sbírce zákonů 23. června 2023). </w:t>
      </w:r>
    </w:p>
    <w:p w14:paraId="5FD59A7E" w14:textId="2476A0B3" w:rsidR="0045514E" w:rsidRPr="00C271F0" w:rsidRDefault="0045514E" w:rsidP="00C271F0">
      <w:pPr>
        <w:pStyle w:val="Textpoznpodarou"/>
        <w:jc w:val="both"/>
        <w:rPr>
          <w:rFonts w:ascii="Garamond" w:hAnsi="Garamond"/>
          <w:sz w:val="24"/>
          <w:szCs w:val="24"/>
        </w:rPr>
      </w:pPr>
      <w:r w:rsidRPr="003C37C8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Dosud udělené akreditace</w:t>
      </w:r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vzdělávacích programů </w:t>
      </w:r>
      <w:proofErr w:type="gramStart"/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skončí</w:t>
      </w:r>
      <w:proofErr w:type="gramEnd"/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uplynutím 18 měsíců</w:t>
      </w:r>
      <w:r w:rsidR="00C22B31">
        <w:rPr>
          <w:rStyle w:val="Znakapoznpodarou"/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footnoteReference w:id="6"/>
      </w:r>
      <w:r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ode dne nabytí účinnosti zákona č. 563/2004 Sb., pokud neskončí dříve uplynutím doby, na kterou byla udělena.</w:t>
      </w:r>
    </w:p>
    <w:p w14:paraId="049B5D47" w14:textId="77777777" w:rsidR="0045514E" w:rsidRDefault="0045514E" w:rsidP="00101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5EA23E6" w14:textId="407AC9EF" w:rsidR="00101741" w:rsidRPr="00101741" w:rsidRDefault="00101741" w:rsidP="00101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01741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U vzdělávacích programů, jimž byla udělena akreditace</w:t>
      </w:r>
      <w:r w:rsidR="00C22B31">
        <w:rPr>
          <w:rStyle w:val="Znakapoznpodarou"/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footnoteReference w:id="7"/>
      </w:r>
      <w:r w:rsidRPr="00101741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podle zákona č. 563/2004 Sb., ve znění účinném přede dnem nabytí účinnosti tohoto zákona, a u nichž má nabytím účinnosti tohoto zákona dojít pouze ke změně názvu, se postupuje podle § 28a odst. 1 písm. c) zákona č. 563/2004 Sb., ve znění účinném ode dne nabytí účinnosti tohoto zákona. Vzdělávací instituce je povinna oznámit ministerstvu změnu názvu do 60 dnů ode dne nabytí účinnosti tohoto zákona.</w:t>
      </w:r>
      <w:r w:rsidR="006E743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Pokud tak neučiní, vzdělávací program </w:t>
      </w:r>
      <w:proofErr w:type="gramStart"/>
      <w:r w:rsidR="006E743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skončí</w:t>
      </w:r>
      <w:proofErr w:type="gramEnd"/>
      <w:r w:rsidR="006E7430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uplynutím 18 měsíců od účinnosti zákona</w:t>
      </w:r>
      <w:r w:rsidR="0010489C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601596">
        <w:rPr>
          <w:rFonts w:ascii="Garamond" w:eastAsia="Times New Roman" w:hAnsi="Garamond" w:cs="Arial"/>
          <w:color w:val="000000"/>
          <w:kern w:val="0"/>
          <w:sz w:val="24"/>
          <w:szCs w:val="24"/>
          <w:lang w:eastAsia="cs-CZ"/>
          <w14:ligatures w14:val="none"/>
        </w:rPr>
        <w:t xml:space="preserve"> Vzory změny názvů vzdělávacích programů v souladu se zákonem jsou dostupné na webových stránkách MŠMT.</w:t>
      </w:r>
    </w:p>
    <w:p w14:paraId="74CB482F" w14:textId="77777777" w:rsidR="00601596" w:rsidRDefault="00601596" w:rsidP="00A81159">
      <w:pPr>
        <w:spacing w:before="300" w:after="120" w:line="240" w:lineRule="auto"/>
        <w:outlineLvl w:val="2"/>
        <w:rPr>
          <w:rFonts w:ascii="Garamond" w:eastAsia="Times New Roman" w:hAnsi="Garamond" w:cs="Arial"/>
          <w:kern w:val="0"/>
          <w:sz w:val="24"/>
          <w:szCs w:val="24"/>
          <w:lang w:eastAsia="cs-CZ"/>
          <w14:ligatures w14:val="none"/>
        </w:rPr>
      </w:pPr>
    </w:p>
    <w:p w14:paraId="397E0212" w14:textId="5E25A03B" w:rsidR="00A81159" w:rsidRPr="00601596" w:rsidRDefault="00720E25" w:rsidP="00601596">
      <w:pPr>
        <w:spacing w:before="30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06875"/>
          <w:kern w:val="0"/>
          <w:sz w:val="27"/>
          <w:szCs w:val="27"/>
          <w:lang w:eastAsia="cs-CZ"/>
          <w14:ligatures w14:val="none"/>
        </w:rPr>
      </w:pPr>
      <w:r w:rsidRPr="00601596">
        <w:rPr>
          <w:rFonts w:ascii="Garamond" w:eastAsia="Times New Roman" w:hAnsi="Garamond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 xml:space="preserve">Shrnutí: </w:t>
      </w:r>
      <w:r w:rsidR="00A81159" w:rsidRPr="00A81159"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  <w:t>Novela zákona přines</w:t>
      </w:r>
      <w:r w:rsidRPr="00720E25"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  <w:t>la</w:t>
      </w:r>
      <w:r w:rsidR="00A81159" w:rsidRPr="00A81159"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  <w:t xml:space="preserve"> zúžení rozsahu akreditací vzdělávacích programů systému dalšího vzdělávání pedagogických pracovníků, a to tím způsobem, že </w:t>
      </w:r>
      <w:r w:rsidR="00A81159" w:rsidRPr="00A81159">
        <w:rPr>
          <w:rFonts w:ascii="Garamond" w:eastAsia="Times New Roman" w:hAnsi="Garamond" w:cs="Arial"/>
          <w:b/>
          <w:bCs/>
          <w:color w:val="4C4C4C"/>
          <w:kern w:val="0"/>
          <w:sz w:val="24"/>
          <w:szCs w:val="24"/>
          <w:lang w:eastAsia="cs-CZ"/>
          <w14:ligatures w14:val="none"/>
        </w:rPr>
        <w:t>nadále nebudou akreditovány vzdělávací programy k prohlubování odborné kvalifikace</w:t>
      </w:r>
      <w:r w:rsidR="00A81159" w:rsidRPr="00A81159"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  <w:t> (tzv. průběžné vzdělávání).</w:t>
      </w:r>
    </w:p>
    <w:p w14:paraId="04FA5DC4" w14:textId="76AB00CF" w:rsidR="003C37C8" w:rsidRPr="006E7430" w:rsidRDefault="003C37C8" w:rsidP="00720E25">
      <w:pPr>
        <w:spacing w:before="120" w:after="240" w:line="240" w:lineRule="auto"/>
        <w:jc w:val="both"/>
        <w:rPr>
          <w:rFonts w:ascii="Garamond" w:eastAsia="Times New Roman" w:hAnsi="Garamond" w:cs="Arial"/>
          <w:b/>
          <w:bCs/>
          <w:color w:val="4C4C4C"/>
          <w:kern w:val="0"/>
          <w:sz w:val="24"/>
          <w:szCs w:val="24"/>
          <w:lang w:eastAsia="cs-CZ"/>
          <w14:ligatures w14:val="none"/>
        </w:rPr>
      </w:pPr>
      <w:r w:rsidRPr="006E7430">
        <w:rPr>
          <w:rFonts w:ascii="Garamond" w:eastAsia="Times New Roman" w:hAnsi="Garamond" w:cs="Arial"/>
          <w:b/>
          <w:bCs/>
          <w:color w:val="4C4C4C"/>
          <w:kern w:val="0"/>
          <w:sz w:val="24"/>
          <w:szCs w:val="24"/>
          <w:lang w:eastAsia="cs-CZ"/>
          <w14:ligatures w14:val="none"/>
        </w:rPr>
        <w:t xml:space="preserve">Poznámka: </w:t>
      </w:r>
    </w:p>
    <w:p w14:paraId="786ACC0A" w14:textId="401F571D" w:rsidR="00524213" w:rsidRDefault="003C37C8" w:rsidP="00720E25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  <w:t xml:space="preserve">Orientovat se po novele školského zákona zákonem č. 183/2023 Sb., kterým se mění školský zákon </w:t>
      </w:r>
      <w:r w:rsidR="00455D80"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  <w:t xml:space="preserve">je vcelku obtížné pro pedagogické pracovníky. Omezení udělování akreditací vyplývá pouze z jednoho ustanovení, a to pozor, nejedná se o paragrafové znění zákona, ale o přechodné ustanovení zákona č. 183/2023 Sb. o tom, že </w:t>
      </w:r>
      <w:bookmarkStart w:id="1" w:name="_Hlk145632684"/>
      <w:r w:rsidR="00455D80" w:rsidRPr="00455D80">
        <w:rPr>
          <w:rFonts w:ascii="Garamond" w:eastAsia="Times New Roman" w:hAnsi="Garamond" w:cs="Arial"/>
          <w:i/>
          <w:iCs/>
          <w:color w:val="4C4C4C"/>
          <w:kern w:val="0"/>
          <w:sz w:val="24"/>
          <w:szCs w:val="24"/>
          <w:lang w:eastAsia="cs-CZ"/>
          <w14:ligatures w14:val="none"/>
        </w:rPr>
        <w:t>„</w:t>
      </w:r>
      <w:r w:rsidR="00455D80" w:rsidRPr="00455D80">
        <w:rPr>
          <w:rFonts w:ascii="Garamond" w:hAnsi="Garamond"/>
          <w:i/>
          <w:iCs/>
          <w:sz w:val="24"/>
          <w:szCs w:val="24"/>
        </w:rPr>
        <w:t xml:space="preserve">Řízení o akreditaci vzdělávacího programu určeného k </w:t>
      </w:r>
      <w:r w:rsidR="00455D80" w:rsidRPr="00455D80">
        <w:rPr>
          <w:rFonts w:ascii="Garamond" w:hAnsi="Garamond"/>
          <w:b/>
          <w:bCs/>
          <w:i/>
          <w:iCs/>
          <w:sz w:val="24"/>
          <w:szCs w:val="24"/>
        </w:rPr>
        <w:t>obnovení, udržení nebo doplnění kvalifikace</w:t>
      </w:r>
      <w:r w:rsidR="00455D80" w:rsidRPr="00455D80">
        <w:rPr>
          <w:rFonts w:ascii="Garamond" w:hAnsi="Garamond"/>
          <w:i/>
          <w:iCs/>
          <w:sz w:val="24"/>
          <w:szCs w:val="24"/>
        </w:rPr>
        <w:t xml:space="preserve"> zahájené přede dnem nabytí účinnosti tohoto zákona se zastaví.</w:t>
      </w:r>
      <w:r w:rsidR="00455D80" w:rsidRPr="00455D80">
        <w:rPr>
          <w:rStyle w:val="Znakapoznpodarou"/>
          <w:rFonts w:ascii="Garamond" w:hAnsi="Garamond"/>
          <w:i/>
          <w:iCs/>
          <w:sz w:val="24"/>
          <w:szCs w:val="24"/>
        </w:rPr>
        <w:footnoteReference w:id="8"/>
      </w:r>
      <w:bookmarkEnd w:id="1"/>
      <w:r w:rsidR="00455D80" w:rsidRPr="00455D80">
        <w:rPr>
          <w:rFonts w:ascii="Garamond" w:hAnsi="Garamond"/>
          <w:i/>
          <w:iCs/>
          <w:sz w:val="24"/>
          <w:szCs w:val="24"/>
        </w:rPr>
        <w:t>“</w:t>
      </w:r>
      <w:r w:rsidR="00455D80">
        <w:rPr>
          <w:rFonts w:ascii="Garamond" w:hAnsi="Garamond"/>
          <w:i/>
          <w:iCs/>
          <w:sz w:val="24"/>
          <w:szCs w:val="24"/>
        </w:rPr>
        <w:t xml:space="preserve"> </w:t>
      </w:r>
      <w:r w:rsidR="00455D80">
        <w:rPr>
          <w:rFonts w:ascii="Garamond" w:hAnsi="Garamond"/>
          <w:sz w:val="24"/>
          <w:szCs w:val="24"/>
        </w:rPr>
        <w:t xml:space="preserve">Obecně by se v přechodných ustanoveních neměly objevovat zásadní informace, mající vliv na změnu zákonů. Což se v tomto případě stalo. </w:t>
      </w:r>
    </w:p>
    <w:p w14:paraId="72752A50" w14:textId="6AA55D54" w:rsidR="002F3D04" w:rsidRDefault="00455D80" w:rsidP="00720E25">
      <w:pPr>
        <w:spacing w:before="120" w:after="240" w:line="240" w:lineRule="auto"/>
        <w:jc w:val="both"/>
        <w:rPr>
          <w:rFonts w:ascii="Garamond" w:hAnsi="Garamond" w:cs="Arial"/>
          <w:color w:val="43494D"/>
          <w:sz w:val="24"/>
          <w:szCs w:val="24"/>
          <w:shd w:val="clear" w:color="auto" w:fill="FFFFFF"/>
        </w:rPr>
      </w:pPr>
      <w:r w:rsidRPr="00524213">
        <w:rPr>
          <w:rFonts w:ascii="Garamond" w:hAnsi="Garamond"/>
          <w:sz w:val="24"/>
          <w:szCs w:val="24"/>
        </w:rPr>
        <w:t>Dokonce není v přechodném ustanovení informace</w:t>
      </w:r>
      <w:r w:rsidR="00524213" w:rsidRPr="00524213">
        <w:rPr>
          <w:rFonts w:ascii="Garamond" w:hAnsi="Garamond"/>
          <w:sz w:val="24"/>
          <w:szCs w:val="24"/>
        </w:rPr>
        <w:t xml:space="preserve"> (již vůbec ne v paragrafovém znění zákona č. 183/2023 Sb.)</w:t>
      </w:r>
      <w:r w:rsidRPr="00524213">
        <w:rPr>
          <w:rFonts w:ascii="Garamond" w:hAnsi="Garamond"/>
          <w:sz w:val="24"/>
          <w:szCs w:val="24"/>
        </w:rPr>
        <w:t xml:space="preserve">, že se nebudou udělovat akreditace pro případy průběžného vzdělávání </w:t>
      </w:r>
      <w:r w:rsidRPr="006E7430">
        <w:rPr>
          <w:rFonts w:ascii="Garamond" w:hAnsi="Garamond"/>
          <w:b/>
          <w:bCs/>
          <w:sz w:val="24"/>
          <w:szCs w:val="24"/>
        </w:rPr>
        <w:t>po účinnosti</w:t>
      </w:r>
      <w:r w:rsidRPr="00524213">
        <w:rPr>
          <w:rFonts w:ascii="Garamond" w:hAnsi="Garamond"/>
          <w:sz w:val="24"/>
          <w:szCs w:val="24"/>
        </w:rPr>
        <w:t xml:space="preserve"> školského zákona (</w:t>
      </w:r>
      <w:r w:rsidR="00524213" w:rsidRPr="00524213">
        <w:rPr>
          <w:rFonts w:ascii="Garamond" w:hAnsi="Garamond"/>
          <w:sz w:val="24"/>
          <w:szCs w:val="24"/>
        </w:rPr>
        <w:t>„</w:t>
      </w:r>
      <w:r w:rsidRPr="00524213">
        <w:rPr>
          <w:rFonts w:ascii="Garamond" w:hAnsi="Garamond"/>
          <w:sz w:val="24"/>
          <w:szCs w:val="24"/>
        </w:rPr>
        <w:t>řízení</w:t>
      </w:r>
      <w:r w:rsidR="00524213" w:rsidRPr="00524213">
        <w:rPr>
          <w:rFonts w:ascii="Garamond" w:hAnsi="Garamond"/>
          <w:sz w:val="24"/>
          <w:szCs w:val="24"/>
        </w:rPr>
        <w:t xml:space="preserve"> o akreditaci, které bylo zahájeno před účinností zákona, se zastaví“). O tom, že budou zrušeny akreditace </w:t>
      </w:r>
      <w:r w:rsidR="006E7430">
        <w:rPr>
          <w:rFonts w:ascii="Garamond" w:hAnsi="Garamond"/>
          <w:sz w:val="24"/>
          <w:szCs w:val="24"/>
        </w:rPr>
        <w:t xml:space="preserve">pro průběžné vzdělávání </w:t>
      </w:r>
      <w:r w:rsidR="00524213" w:rsidRPr="00524213">
        <w:rPr>
          <w:rFonts w:ascii="Garamond" w:hAnsi="Garamond"/>
          <w:sz w:val="24"/>
          <w:szCs w:val="24"/>
        </w:rPr>
        <w:t xml:space="preserve">(nebudou se vydávat), není žádná zmínka ani ve vyhlášce č. 317/2005 Sb., </w:t>
      </w:r>
      <w:r w:rsidR="00524213" w:rsidRPr="00524213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o dalším vzdělávání pedagogických pracovníků, akreditační komisi a kariérním systému pedagogických pracovníků</w:t>
      </w:r>
      <w:r w:rsidR="00524213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. </w:t>
      </w:r>
    </w:p>
    <w:p w14:paraId="6D603AA5" w14:textId="5DF4911A" w:rsidR="003C37C8" w:rsidRDefault="00524213" w:rsidP="00720E25">
      <w:pPr>
        <w:spacing w:before="120" w:after="240" w:line="240" w:lineRule="auto"/>
        <w:jc w:val="both"/>
        <w:rPr>
          <w:rFonts w:ascii="Garamond" w:hAnsi="Garamond" w:cs="Arial"/>
          <w:color w:val="43494D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Stejně tak není ve školském zákoně zmínka (v paragrafovém znění, nepočítám „přílepek Přechodného ustanovení zák. č. 183/2023 Sb., kterým se mění školský zákon) o neudělování akreditací pro průběžné vzdělávání. Očekával bych zmínku ve školském zákoně v § 27 Akredi</w:t>
      </w:r>
      <w:r w:rsidR="007F4E84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t</w:t>
      </w:r>
      <w:r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ace vzdělávacího programu v odst. 3 jako další nový důvod</w:t>
      </w:r>
      <w:r w:rsidR="002F3D04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:</w:t>
      </w:r>
      <w:r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 </w:t>
      </w:r>
      <w:r w:rsidRPr="006E7430">
        <w:rPr>
          <w:rFonts w:ascii="Garamond" w:hAnsi="Garamond" w:cs="Arial"/>
          <w:b/>
          <w:bCs/>
          <w:color w:val="43494D"/>
          <w:sz w:val="24"/>
          <w:szCs w:val="24"/>
          <w:shd w:val="clear" w:color="auto" w:fill="FFFFFF"/>
        </w:rPr>
        <w:t>neudělení akreditace pro průběžné vzdělávání</w:t>
      </w:r>
      <w:r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. </w:t>
      </w:r>
      <w:r w:rsidR="002F3D04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V uvedeném paragrafu jsou 3 důvody (stručně: 1. bezúhonnost žadatele, 2. nekvalitní vzdělávací program, 3. neskýtá záruku kvalitního vzdělávání, např. neodborníci) a mohla by zde být zmínka i o průběžném vzdělávání. Nic. Pro právní jistotu žadatelů o akreditaci jistě nepřispívá ani skutečnost, že podle školského zákona</w:t>
      </w:r>
      <w:r w:rsidR="002F3D04">
        <w:rPr>
          <w:rStyle w:val="Znakapoznpodarou"/>
          <w:rFonts w:ascii="Garamond" w:hAnsi="Garamond" w:cs="Arial"/>
          <w:color w:val="43494D"/>
          <w:sz w:val="24"/>
          <w:szCs w:val="24"/>
          <w:shd w:val="clear" w:color="auto" w:fill="FFFFFF"/>
        </w:rPr>
        <w:footnoteReference w:id="9"/>
      </w:r>
      <w:r w:rsidR="002F3D04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 se akreditace uděluje na dobu 3 let a tuto dobu je možno na žádost prodloužit o další 3 roky, a to i opakovaně. Žadatel, kterému </w:t>
      </w:r>
      <w:proofErr w:type="gramStart"/>
      <w:r w:rsidR="002F3D04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končí</w:t>
      </w:r>
      <w:proofErr w:type="gramEnd"/>
      <w:r w:rsidR="002F3D04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 akreditace např. v říjnu 2023, se dozví, že akreditaci si nemůže prodloužit. A to se opět nedozví ze školského zákona</w:t>
      </w:r>
      <w:r w:rsidR="00A00D85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, který přímo </w:t>
      </w:r>
      <w:proofErr w:type="gramStart"/>
      <w:r w:rsidR="00A00D85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řeší</w:t>
      </w:r>
      <w:proofErr w:type="gramEnd"/>
      <w:r w:rsidR="00A00D85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 akreditaci vzdělávacího programu v § 27, ale v</w:t>
      </w:r>
      <w:r w:rsidR="006E7430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 dobře „utajeném</w:t>
      </w:r>
      <w:r w:rsidR="00A00D85"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>“ přechodném ustanovení.</w:t>
      </w:r>
    </w:p>
    <w:p w14:paraId="2B3DC9E0" w14:textId="4AEB7347" w:rsidR="00A00D85" w:rsidRDefault="00A00D85" w:rsidP="00720E25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43494D"/>
          <w:sz w:val="24"/>
          <w:szCs w:val="24"/>
          <w:shd w:val="clear" w:color="auto" w:fill="FFFFFF"/>
        </w:rPr>
        <w:t xml:space="preserve">Ze znění přechodného ustanovení: </w:t>
      </w:r>
      <w:r w:rsidRPr="00455D80">
        <w:rPr>
          <w:rFonts w:ascii="Garamond" w:eastAsia="Times New Roman" w:hAnsi="Garamond" w:cs="Arial"/>
          <w:i/>
          <w:iCs/>
          <w:color w:val="4C4C4C"/>
          <w:kern w:val="0"/>
          <w:sz w:val="24"/>
          <w:szCs w:val="24"/>
          <w:lang w:eastAsia="cs-CZ"/>
          <w14:ligatures w14:val="none"/>
        </w:rPr>
        <w:t>„</w:t>
      </w:r>
      <w:r w:rsidRPr="00455D80">
        <w:rPr>
          <w:rFonts w:ascii="Garamond" w:hAnsi="Garamond"/>
          <w:i/>
          <w:iCs/>
          <w:sz w:val="24"/>
          <w:szCs w:val="24"/>
        </w:rPr>
        <w:t xml:space="preserve">Řízení o akreditaci vzdělávacího programu určeného </w:t>
      </w:r>
      <w:r w:rsidRPr="00A00D85">
        <w:rPr>
          <w:rFonts w:ascii="Garamond" w:hAnsi="Garamond"/>
          <w:i/>
          <w:iCs/>
          <w:sz w:val="24"/>
          <w:szCs w:val="24"/>
        </w:rPr>
        <w:t xml:space="preserve">k obnovení, udržení nebo doplnění kvalifikace zahájené přede dnem nabytí účinnosti tohoto </w:t>
      </w:r>
      <w:r w:rsidRPr="00455D80">
        <w:rPr>
          <w:rFonts w:ascii="Garamond" w:hAnsi="Garamond"/>
          <w:i/>
          <w:iCs/>
          <w:sz w:val="24"/>
          <w:szCs w:val="24"/>
        </w:rPr>
        <w:t>zákona se zastaví</w:t>
      </w:r>
      <w:r>
        <w:rPr>
          <w:rFonts w:ascii="Garamond" w:hAnsi="Garamond"/>
          <w:i/>
          <w:iCs/>
          <w:sz w:val="24"/>
          <w:szCs w:val="24"/>
        </w:rPr>
        <w:t>.</w:t>
      </w:r>
      <w:r w:rsidRPr="00455D80">
        <w:rPr>
          <w:rStyle w:val="Znakapoznpodarou"/>
          <w:rFonts w:ascii="Garamond" w:hAnsi="Garamond"/>
          <w:i/>
          <w:iCs/>
          <w:sz w:val="24"/>
          <w:szCs w:val="24"/>
        </w:rPr>
        <w:footnoteReference w:id="10"/>
      </w:r>
      <w:r>
        <w:rPr>
          <w:rFonts w:ascii="Garamond" w:hAnsi="Garamond"/>
          <w:i/>
          <w:iCs/>
          <w:sz w:val="24"/>
          <w:szCs w:val="24"/>
        </w:rPr>
        <w:t xml:space="preserve">“ </w:t>
      </w:r>
      <w:r>
        <w:rPr>
          <w:rFonts w:ascii="Garamond" w:hAnsi="Garamond"/>
          <w:sz w:val="24"/>
          <w:szCs w:val="24"/>
        </w:rPr>
        <w:t xml:space="preserve">laik nepozná, jakých vzdělávacích programů se zastavení, resp. zrušení, týká. Z textu </w:t>
      </w:r>
      <w:r w:rsidR="00601596">
        <w:rPr>
          <w:rFonts w:ascii="Garamond" w:hAnsi="Garamond"/>
          <w:sz w:val="24"/>
          <w:szCs w:val="24"/>
        </w:rPr>
        <w:t xml:space="preserve">logicky </w:t>
      </w:r>
      <w:r>
        <w:rPr>
          <w:rFonts w:ascii="Garamond" w:hAnsi="Garamond"/>
          <w:sz w:val="24"/>
          <w:szCs w:val="24"/>
        </w:rPr>
        <w:t>vyplývá, že se jedná o vzdělávací programy k </w:t>
      </w:r>
      <w:r w:rsidR="006E7430">
        <w:rPr>
          <w:rFonts w:ascii="Garamond" w:hAnsi="Garamond"/>
          <w:sz w:val="24"/>
          <w:szCs w:val="24"/>
        </w:rPr>
        <w:t>obnovení</w:t>
      </w:r>
      <w:r>
        <w:rPr>
          <w:rFonts w:ascii="Garamond" w:hAnsi="Garamond"/>
          <w:sz w:val="24"/>
          <w:szCs w:val="24"/>
        </w:rPr>
        <w:t xml:space="preserve"> již získaného vzdělání nebo udržení (prolongace) nebo doplnění již dříve získané kvalifikace. Těmto </w:t>
      </w:r>
      <w:r w:rsidRPr="006E7430">
        <w:rPr>
          <w:rFonts w:ascii="Garamond" w:hAnsi="Garamond"/>
          <w:b/>
          <w:bCs/>
          <w:sz w:val="24"/>
          <w:szCs w:val="24"/>
        </w:rPr>
        <w:t>vzdělávacím programům odpovídá průběžné vzdělávání</w:t>
      </w:r>
      <w:r>
        <w:rPr>
          <w:rFonts w:ascii="Garamond" w:hAnsi="Garamond"/>
          <w:sz w:val="24"/>
          <w:szCs w:val="24"/>
        </w:rPr>
        <w:t xml:space="preserve"> podle vyhlášky č. 317/2005 Sb</w:t>
      </w:r>
      <w:r w:rsidR="007447AB">
        <w:rPr>
          <w:rFonts w:ascii="Garamond" w:hAnsi="Garamond"/>
          <w:sz w:val="24"/>
          <w:szCs w:val="24"/>
        </w:rPr>
        <w:t>.</w:t>
      </w:r>
      <w:r w:rsidR="007447AB">
        <w:rPr>
          <w:rStyle w:val="Znakapoznpodarou"/>
          <w:rFonts w:ascii="Garamond" w:hAnsi="Garamond"/>
          <w:sz w:val="24"/>
          <w:szCs w:val="24"/>
        </w:rPr>
        <w:footnoteReference w:id="11"/>
      </w:r>
      <w:r w:rsidR="007447AB">
        <w:rPr>
          <w:rFonts w:ascii="Garamond" w:hAnsi="Garamond"/>
          <w:sz w:val="24"/>
          <w:szCs w:val="24"/>
        </w:rPr>
        <w:t xml:space="preserve"> A opět se v této vyhlášce nikdo nedozví, že se akreditace pro průběžné vzdělávání nebudou vydávat nebo, že se </w:t>
      </w:r>
      <w:r w:rsidR="00601596">
        <w:rPr>
          <w:rFonts w:ascii="Garamond" w:hAnsi="Garamond"/>
          <w:sz w:val="24"/>
          <w:szCs w:val="24"/>
        </w:rPr>
        <w:t>zásadně mění</w:t>
      </w:r>
      <w:r w:rsidR="007447AB">
        <w:rPr>
          <w:rFonts w:ascii="Garamond" w:hAnsi="Garamond"/>
          <w:sz w:val="24"/>
          <w:szCs w:val="24"/>
        </w:rPr>
        <w:t xml:space="preserve"> jejich doba trvání. Stejně tak </w:t>
      </w:r>
      <w:proofErr w:type="gramStart"/>
      <w:r w:rsidR="007447AB">
        <w:rPr>
          <w:rFonts w:ascii="Garamond" w:hAnsi="Garamond"/>
          <w:sz w:val="24"/>
          <w:szCs w:val="24"/>
        </w:rPr>
        <w:t>mlčí</w:t>
      </w:r>
      <w:proofErr w:type="gramEnd"/>
      <w:r w:rsidR="007447AB">
        <w:rPr>
          <w:rFonts w:ascii="Garamond" w:hAnsi="Garamond"/>
          <w:sz w:val="24"/>
          <w:szCs w:val="24"/>
        </w:rPr>
        <w:t xml:space="preserve"> školský zákon.</w:t>
      </w:r>
    </w:p>
    <w:p w14:paraId="5D9465C0" w14:textId="77777777" w:rsidR="00455D80" w:rsidRPr="00A81159" w:rsidRDefault="00455D80" w:rsidP="00720E25">
      <w:pPr>
        <w:spacing w:before="120" w:after="240" w:line="240" w:lineRule="auto"/>
        <w:jc w:val="both"/>
        <w:rPr>
          <w:rFonts w:ascii="Garamond" w:eastAsia="Times New Roman" w:hAnsi="Garamond" w:cs="Arial"/>
          <w:color w:val="4C4C4C"/>
          <w:kern w:val="0"/>
          <w:sz w:val="24"/>
          <w:szCs w:val="24"/>
          <w:lang w:eastAsia="cs-CZ"/>
          <w14:ligatures w14:val="none"/>
        </w:rPr>
      </w:pPr>
    </w:p>
    <w:sectPr w:rsidR="00455D80" w:rsidRPr="00A8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8F2F" w14:textId="77777777" w:rsidR="00247DB1" w:rsidRDefault="00247DB1" w:rsidP="00101741">
      <w:pPr>
        <w:spacing w:after="0" w:line="240" w:lineRule="auto"/>
      </w:pPr>
      <w:r>
        <w:separator/>
      </w:r>
    </w:p>
  </w:endnote>
  <w:endnote w:type="continuationSeparator" w:id="0">
    <w:p w14:paraId="7B2E328E" w14:textId="77777777" w:rsidR="00247DB1" w:rsidRDefault="00247DB1" w:rsidP="0010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D535" w14:textId="77777777" w:rsidR="00247DB1" w:rsidRDefault="00247DB1" w:rsidP="00101741">
      <w:pPr>
        <w:spacing w:after="0" w:line="240" w:lineRule="auto"/>
      </w:pPr>
      <w:r>
        <w:separator/>
      </w:r>
    </w:p>
  </w:footnote>
  <w:footnote w:type="continuationSeparator" w:id="0">
    <w:p w14:paraId="04FE17A7" w14:textId="77777777" w:rsidR="00247DB1" w:rsidRDefault="00247DB1" w:rsidP="00101741">
      <w:pPr>
        <w:spacing w:after="0" w:line="240" w:lineRule="auto"/>
      </w:pPr>
      <w:r>
        <w:continuationSeparator/>
      </w:r>
    </w:p>
  </w:footnote>
  <w:footnote w:id="1">
    <w:p w14:paraId="5EAACC88" w14:textId="058E733B" w:rsidR="00101741" w:rsidRPr="003C37C8" w:rsidRDefault="00101741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§ 24 odst. 1 zák. č. 563/2004 Sb., o pedagogických pracovnících</w:t>
      </w:r>
    </w:p>
  </w:footnote>
  <w:footnote w:id="2">
    <w:p w14:paraId="150BC337" w14:textId="59C1E1E2" w:rsidR="006A4E69" w:rsidRPr="003C37C8" w:rsidRDefault="006A4E69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</w:t>
      </w:r>
      <w:r w:rsidR="003C690D" w:rsidRPr="003C37C8">
        <w:rPr>
          <w:rFonts w:ascii="Garamond" w:hAnsi="Garamond"/>
        </w:rPr>
        <w:t xml:space="preserve">§ 1 </w:t>
      </w:r>
      <w:r w:rsidRPr="003C37C8">
        <w:rPr>
          <w:rFonts w:ascii="Garamond" w:hAnsi="Garamond"/>
        </w:rPr>
        <w:t>vyhlášky o DVPP</w:t>
      </w:r>
    </w:p>
  </w:footnote>
  <w:footnote w:id="3">
    <w:p w14:paraId="47DBA40D" w14:textId="0BFD9BDF" w:rsidR="00BA030D" w:rsidRPr="003C37C8" w:rsidRDefault="00BA030D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§ 10 vyhlášky o DVPP</w:t>
      </w:r>
    </w:p>
  </w:footnote>
  <w:footnote w:id="4">
    <w:p w14:paraId="74D7019C" w14:textId="76F217CD" w:rsidR="00BA04F6" w:rsidRPr="003C37C8" w:rsidRDefault="00BA04F6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Čl. II Přechodná ustanovení, bod 4. zák. č. 183/2023, kterým se mění školský zákon</w:t>
      </w:r>
    </w:p>
  </w:footnote>
  <w:footnote w:id="5">
    <w:p w14:paraId="3FACFBB1" w14:textId="22E06406" w:rsidR="00BA04F6" w:rsidRPr="003C37C8" w:rsidRDefault="00BA04F6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§ 34 školského zákona</w:t>
      </w:r>
    </w:p>
  </w:footnote>
  <w:footnote w:id="6">
    <w:p w14:paraId="75FFBA48" w14:textId="75BC32C4" w:rsidR="00C22B31" w:rsidRPr="003C37C8" w:rsidRDefault="00C22B31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Všechny akreditace vzdělávacích programů průběžného vzdělávání </w:t>
      </w:r>
      <w:proofErr w:type="gramStart"/>
      <w:r w:rsidRPr="003C37C8">
        <w:rPr>
          <w:rFonts w:ascii="Garamond" w:hAnsi="Garamond"/>
        </w:rPr>
        <w:t>skončí</w:t>
      </w:r>
      <w:proofErr w:type="gramEnd"/>
      <w:r w:rsidRPr="003C37C8">
        <w:rPr>
          <w:rFonts w:ascii="Garamond" w:hAnsi="Garamond"/>
        </w:rPr>
        <w:t xml:space="preserve"> nejpozději k 1.3.2025</w:t>
      </w:r>
    </w:p>
  </w:footnote>
  <w:footnote w:id="7">
    <w:p w14:paraId="375B6AF1" w14:textId="0082BD63" w:rsidR="00C22B31" w:rsidRPr="003C37C8" w:rsidRDefault="00C22B31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Tj. studia ke splnění kvalifikačních předpokladů nebo studia ke splnění dalších kvalifikačních předpokladů, </w:t>
      </w:r>
      <w:r w:rsidR="003C37C8" w:rsidRPr="003C37C8">
        <w:rPr>
          <w:rFonts w:ascii="Garamond" w:hAnsi="Garamond"/>
        </w:rPr>
        <w:t xml:space="preserve">viz </w:t>
      </w:r>
      <w:r w:rsidRPr="003C37C8">
        <w:rPr>
          <w:rFonts w:ascii="Garamond" w:hAnsi="Garamond"/>
        </w:rPr>
        <w:t xml:space="preserve">Čl. II Přechodná ustanovení, bod </w:t>
      </w:r>
      <w:r w:rsidR="006E7430">
        <w:rPr>
          <w:rFonts w:ascii="Garamond" w:hAnsi="Garamond"/>
        </w:rPr>
        <w:t>2</w:t>
      </w:r>
      <w:r w:rsidRPr="003C37C8">
        <w:rPr>
          <w:rFonts w:ascii="Garamond" w:hAnsi="Garamond"/>
        </w:rPr>
        <w:t>. zák. č. 183/2023, kterým se mění školský zákon</w:t>
      </w:r>
    </w:p>
  </w:footnote>
  <w:footnote w:id="8">
    <w:p w14:paraId="3BA6B352" w14:textId="77777777" w:rsidR="00455D80" w:rsidRPr="0010489C" w:rsidRDefault="00455D80" w:rsidP="00455D80">
      <w:pPr>
        <w:pStyle w:val="Textpoznpodarou"/>
        <w:rPr>
          <w:rFonts w:ascii="Garamond" w:hAnsi="Garamond"/>
        </w:rPr>
      </w:pPr>
      <w:r w:rsidRPr="003C37C8">
        <w:rPr>
          <w:rStyle w:val="Znakapoznpodarou"/>
          <w:rFonts w:ascii="Garamond" w:hAnsi="Garamond"/>
        </w:rPr>
        <w:footnoteRef/>
      </w:r>
      <w:r w:rsidRPr="003C37C8">
        <w:rPr>
          <w:rFonts w:ascii="Garamond" w:hAnsi="Garamond"/>
        </w:rPr>
        <w:t xml:space="preserve"> </w:t>
      </w:r>
      <w:r w:rsidRPr="0010489C">
        <w:rPr>
          <w:rFonts w:ascii="Garamond" w:hAnsi="Garamond"/>
        </w:rPr>
        <w:t>Čl. II Přechodná ustanovení, bod 4. zák. č. 183/2023, kterým se mění školský zákon</w:t>
      </w:r>
    </w:p>
  </w:footnote>
  <w:footnote w:id="9">
    <w:p w14:paraId="180826F7" w14:textId="1278EB01" w:rsidR="002F3D04" w:rsidRPr="0010489C" w:rsidRDefault="002F3D04">
      <w:pPr>
        <w:pStyle w:val="Textpoznpodarou"/>
        <w:rPr>
          <w:rFonts w:ascii="Garamond" w:hAnsi="Garamond"/>
        </w:rPr>
      </w:pPr>
      <w:r w:rsidRPr="0010489C">
        <w:rPr>
          <w:rStyle w:val="Znakapoznpodarou"/>
          <w:rFonts w:ascii="Garamond" w:hAnsi="Garamond"/>
        </w:rPr>
        <w:footnoteRef/>
      </w:r>
      <w:r w:rsidRPr="0010489C">
        <w:rPr>
          <w:rFonts w:ascii="Garamond" w:hAnsi="Garamond"/>
        </w:rPr>
        <w:t xml:space="preserve"> § 27 odst. 4</w:t>
      </w:r>
    </w:p>
  </w:footnote>
  <w:footnote w:id="10">
    <w:p w14:paraId="7D4AA1E0" w14:textId="77777777" w:rsidR="00A00D85" w:rsidRPr="0010489C" w:rsidRDefault="00A00D85" w:rsidP="00A00D85">
      <w:pPr>
        <w:pStyle w:val="Textpoznpodarou"/>
        <w:rPr>
          <w:rFonts w:ascii="Garamond" w:hAnsi="Garamond"/>
        </w:rPr>
      </w:pPr>
      <w:r w:rsidRPr="0010489C">
        <w:rPr>
          <w:rStyle w:val="Znakapoznpodarou"/>
          <w:rFonts w:ascii="Garamond" w:hAnsi="Garamond"/>
        </w:rPr>
        <w:footnoteRef/>
      </w:r>
      <w:r w:rsidRPr="0010489C">
        <w:rPr>
          <w:rFonts w:ascii="Garamond" w:hAnsi="Garamond"/>
        </w:rPr>
        <w:t xml:space="preserve"> Čl. II Přechodná ustanovení, bod 4. zák. č. 183/2023, kterým se mění školský zákon</w:t>
      </w:r>
    </w:p>
  </w:footnote>
  <w:footnote w:id="11">
    <w:p w14:paraId="2892BF55" w14:textId="13A9DF41" w:rsidR="007447AB" w:rsidRPr="0010489C" w:rsidRDefault="007447AB">
      <w:pPr>
        <w:pStyle w:val="Textpoznpodarou"/>
        <w:rPr>
          <w:rFonts w:ascii="Garamond" w:hAnsi="Garamond"/>
        </w:rPr>
      </w:pPr>
      <w:r w:rsidRPr="0010489C">
        <w:rPr>
          <w:rStyle w:val="Znakapoznpodarou"/>
          <w:rFonts w:ascii="Garamond" w:hAnsi="Garamond"/>
        </w:rPr>
        <w:footnoteRef/>
      </w:r>
      <w:r w:rsidRPr="0010489C">
        <w:rPr>
          <w:rFonts w:ascii="Garamond" w:hAnsi="Garamond"/>
        </w:rPr>
        <w:t xml:space="preserve"> Studium k prohlubování odborné kvalifikace § 10 Průběžné vzdělávání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3342"/>
    <w:multiLevelType w:val="hybridMultilevel"/>
    <w:tmpl w:val="823CC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59"/>
    <w:rsid w:val="00026D4F"/>
    <w:rsid w:val="000343CC"/>
    <w:rsid w:val="00101741"/>
    <w:rsid w:val="0010489C"/>
    <w:rsid w:val="00125F77"/>
    <w:rsid w:val="00247DB1"/>
    <w:rsid w:val="002F3D04"/>
    <w:rsid w:val="003C37C8"/>
    <w:rsid w:val="003C690D"/>
    <w:rsid w:val="0045514E"/>
    <w:rsid w:val="00455D80"/>
    <w:rsid w:val="004E3908"/>
    <w:rsid w:val="004F1370"/>
    <w:rsid w:val="00515F31"/>
    <w:rsid w:val="00524213"/>
    <w:rsid w:val="005F2E26"/>
    <w:rsid w:val="00601596"/>
    <w:rsid w:val="006A4E69"/>
    <w:rsid w:val="006E7430"/>
    <w:rsid w:val="00720E25"/>
    <w:rsid w:val="007447AB"/>
    <w:rsid w:val="007F00D9"/>
    <w:rsid w:val="007F4E84"/>
    <w:rsid w:val="00812978"/>
    <w:rsid w:val="00A00D85"/>
    <w:rsid w:val="00A07189"/>
    <w:rsid w:val="00A81159"/>
    <w:rsid w:val="00BA030D"/>
    <w:rsid w:val="00BA04F6"/>
    <w:rsid w:val="00C22B31"/>
    <w:rsid w:val="00C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D8A7"/>
  <w15:chartTrackingRefBased/>
  <w15:docId w15:val="{26AB7A47-E316-4AAE-B5C1-900F1A8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6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017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17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1741"/>
    <w:rPr>
      <w:vertAlign w:val="superscript"/>
    </w:rPr>
  </w:style>
  <w:style w:type="paragraph" w:customStyle="1" w:styleId="l3">
    <w:name w:val="l3"/>
    <w:basedOn w:val="Normln"/>
    <w:rsid w:val="003C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">
    <w:name w:val="l4"/>
    <w:basedOn w:val="Normln"/>
    <w:rsid w:val="003C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3C690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3C690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1E38-E933-475D-966E-83BBC646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ludek.cutak@gmail.com</dc:creator>
  <cp:keywords/>
  <dc:description/>
  <cp:lastModifiedBy>Tomáš Jandáč</cp:lastModifiedBy>
  <cp:revision>3</cp:revision>
  <dcterms:created xsi:type="dcterms:W3CDTF">2023-10-13T15:31:00Z</dcterms:created>
  <dcterms:modified xsi:type="dcterms:W3CDTF">2023-10-13T15:34:00Z</dcterms:modified>
</cp:coreProperties>
</file>